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42" w:rsidRDefault="00DC1C8E" w:rsidP="00DC1C8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7C389D" w:rsidRDefault="007C389D" w:rsidP="007C389D">
      <w:pPr>
        <w:pStyle w:val="Heading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5605" cy="56936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ogoHor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5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9D" w:rsidRPr="00074C71" w:rsidRDefault="007C389D" w:rsidP="007C389D">
      <w:pPr>
        <w:pStyle w:val="Heading1"/>
        <w:rPr>
          <w:rFonts w:ascii="Arial" w:hAnsi="Arial" w:cs="Arial"/>
        </w:rPr>
      </w:pPr>
      <w:r w:rsidRPr="00074C71">
        <w:rPr>
          <w:rFonts w:ascii="Arial" w:hAnsi="Arial" w:cs="Arial"/>
          <w:noProof/>
        </w:rPr>
        <w:t>AGENDA / MINUTES</w:t>
      </w:r>
    </w:p>
    <w:p w:rsidR="00A06419" w:rsidRPr="00C23E93" w:rsidRDefault="00A06419" w:rsidP="00C452A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2200"/>
        <w:gridCol w:w="9"/>
        <w:gridCol w:w="473"/>
        <w:gridCol w:w="787"/>
        <w:gridCol w:w="3263"/>
        <w:gridCol w:w="2767"/>
        <w:gridCol w:w="23"/>
      </w:tblGrid>
      <w:tr w:rsidR="007C389D" w:rsidRPr="008237D9" w:rsidTr="007C389D">
        <w:trPr>
          <w:gridAfter w:val="1"/>
          <w:wAfter w:w="23" w:type="dxa"/>
        </w:trPr>
        <w:tc>
          <w:tcPr>
            <w:tcW w:w="3496" w:type="dxa"/>
            <w:gridSpan w:val="2"/>
            <w:shd w:val="clear" w:color="auto" w:fill="auto"/>
          </w:tcPr>
          <w:p w:rsidR="007C389D" w:rsidRPr="008237D9" w:rsidRDefault="007C389D" w:rsidP="0022093D">
            <w:pPr>
              <w:rPr>
                <w:rFonts w:ascii="Arial" w:hAnsi="Arial" w:cs="Arial"/>
                <w:b/>
              </w:rPr>
            </w:pPr>
            <w:r w:rsidRPr="008237D9">
              <w:rPr>
                <w:rFonts w:ascii="Arial" w:hAnsi="Arial" w:cs="Arial"/>
                <w:b/>
              </w:rPr>
              <w:t>Committee/Project/Meeting:</w:t>
            </w:r>
          </w:p>
        </w:tc>
        <w:tc>
          <w:tcPr>
            <w:tcW w:w="7299" w:type="dxa"/>
            <w:gridSpan w:val="5"/>
            <w:shd w:val="clear" w:color="auto" w:fill="auto"/>
          </w:tcPr>
          <w:p w:rsidR="007C389D" w:rsidRDefault="00B046A8" w:rsidP="002C19E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Genesee-Orleans Board of Health</w:t>
            </w:r>
          </w:p>
          <w:p w:rsidR="002C19E4" w:rsidRPr="008237D9" w:rsidRDefault="002C19E4" w:rsidP="002C19E4">
            <w:pPr>
              <w:spacing w:after="0"/>
              <w:rPr>
                <w:rFonts w:ascii="Arial" w:hAnsi="Arial" w:cs="Arial"/>
              </w:rPr>
            </w:pPr>
          </w:p>
        </w:tc>
      </w:tr>
      <w:tr w:rsidR="007E0DBF" w:rsidRPr="008237D9" w:rsidTr="007E0DBF">
        <w:trPr>
          <w:gridAfter w:val="1"/>
          <w:wAfter w:w="23" w:type="dxa"/>
        </w:trPr>
        <w:tc>
          <w:tcPr>
            <w:tcW w:w="1296" w:type="dxa"/>
            <w:shd w:val="clear" w:color="auto" w:fill="auto"/>
          </w:tcPr>
          <w:p w:rsidR="007E0DBF" w:rsidRPr="008237D9" w:rsidRDefault="007E0DBF" w:rsidP="0022093D">
            <w:pPr>
              <w:rPr>
                <w:rFonts w:ascii="Arial" w:hAnsi="Arial" w:cs="Arial"/>
                <w:b/>
              </w:rPr>
            </w:pPr>
            <w:r w:rsidRPr="008237D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7E0DBF" w:rsidRPr="008237D9" w:rsidRDefault="00CF4906" w:rsidP="00904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6</w:t>
            </w:r>
            <w:r w:rsidR="00904457">
              <w:rPr>
                <w:rFonts w:ascii="Arial" w:hAnsi="Arial" w:cs="Arial"/>
              </w:rPr>
              <w:t>,</w:t>
            </w:r>
            <w:r w:rsidR="00C77728">
              <w:rPr>
                <w:rFonts w:ascii="Arial" w:hAnsi="Arial" w:cs="Arial"/>
              </w:rPr>
              <w:t xml:space="preserve"> 20</w:t>
            </w:r>
            <w:r w:rsidR="009217DD">
              <w:rPr>
                <w:rFonts w:ascii="Arial" w:hAnsi="Arial" w:cs="Arial"/>
              </w:rPr>
              <w:t>2</w:t>
            </w:r>
            <w:r w:rsidR="00904457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0DBF" w:rsidRPr="006A642E" w:rsidRDefault="007E0DBF" w:rsidP="0022093D">
            <w:pPr>
              <w:rPr>
                <w:rFonts w:ascii="Arial" w:hAnsi="Arial" w:cs="Arial"/>
                <w:b/>
              </w:rPr>
            </w:pPr>
            <w:r w:rsidRPr="006A642E">
              <w:rPr>
                <w:rFonts w:ascii="Arial" w:hAnsi="Arial" w:cs="Arial"/>
                <w:b/>
              </w:rPr>
              <w:t>Recorder: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7E0DBF" w:rsidRPr="00B046A8" w:rsidRDefault="009217DD" w:rsidP="00220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Jenna Leach</w:t>
            </w:r>
          </w:p>
        </w:tc>
      </w:tr>
      <w:tr w:rsidR="007C389D" w:rsidRPr="008237D9" w:rsidTr="007C389D">
        <w:trPr>
          <w:gridAfter w:val="1"/>
          <w:wAfter w:w="23" w:type="dxa"/>
        </w:trPr>
        <w:tc>
          <w:tcPr>
            <w:tcW w:w="1296" w:type="dxa"/>
            <w:shd w:val="clear" w:color="auto" w:fill="auto"/>
          </w:tcPr>
          <w:p w:rsidR="007C389D" w:rsidRPr="008237D9" w:rsidRDefault="007C389D" w:rsidP="0022093D">
            <w:pPr>
              <w:rPr>
                <w:rFonts w:ascii="Arial" w:hAnsi="Arial" w:cs="Arial"/>
                <w:b/>
              </w:rPr>
            </w:pPr>
            <w:r w:rsidRPr="008237D9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9499" w:type="dxa"/>
            <w:gridSpan w:val="6"/>
            <w:shd w:val="clear" w:color="auto" w:fill="auto"/>
          </w:tcPr>
          <w:p w:rsidR="007C389D" w:rsidRPr="008237D9" w:rsidRDefault="00B046A8" w:rsidP="00220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</w:tr>
      <w:tr w:rsidR="007C389D" w:rsidRPr="008237D9" w:rsidTr="007C389D">
        <w:trPr>
          <w:gridAfter w:val="1"/>
          <w:wAfter w:w="23" w:type="dxa"/>
        </w:trPr>
        <w:tc>
          <w:tcPr>
            <w:tcW w:w="1296" w:type="dxa"/>
            <w:shd w:val="clear" w:color="auto" w:fill="auto"/>
          </w:tcPr>
          <w:p w:rsidR="007C389D" w:rsidRPr="008237D9" w:rsidRDefault="007C389D" w:rsidP="0022093D">
            <w:pPr>
              <w:rPr>
                <w:rFonts w:ascii="Arial" w:hAnsi="Arial" w:cs="Arial"/>
                <w:b/>
              </w:rPr>
            </w:pPr>
            <w:r w:rsidRPr="008237D9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9499" w:type="dxa"/>
            <w:gridSpan w:val="6"/>
            <w:shd w:val="clear" w:color="auto" w:fill="auto"/>
          </w:tcPr>
          <w:p w:rsidR="007C389D" w:rsidRPr="008237D9" w:rsidRDefault="00CF4906" w:rsidP="00220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Genesee</w:t>
            </w:r>
            <w:r w:rsidR="00904457">
              <w:rPr>
                <w:rFonts w:ascii="Arial" w:hAnsi="Arial" w:cs="Arial"/>
              </w:rPr>
              <w:t xml:space="preserve"> </w:t>
            </w:r>
            <w:r w:rsidR="00B046A8">
              <w:rPr>
                <w:rFonts w:ascii="Arial" w:hAnsi="Arial" w:cs="Arial"/>
              </w:rPr>
              <w:t>County Health Department</w:t>
            </w:r>
            <w:r w:rsidR="00904457">
              <w:rPr>
                <w:rFonts w:ascii="Arial" w:hAnsi="Arial" w:cs="Arial"/>
              </w:rPr>
              <w:t>/Zoom</w:t>
            </w:r>
          </w:p>
        </w:tc>
      </w:tr>
      <w:tr w:rsidR="007C389D" w:rsidRPr="008237D9" w:rsidTr="00C23E93">
        <w:trPr>
          <w:gridAfter w:val="1"/>
          <w:wAfter w:w="23" w:type="dxa"/>
          <w:cantSplit/>
          <w:trHeight w:val="395"/>
        </w:trPr>
        <w:tc>
          <w:tcPr>
            <w:tcW w:w="10795" w:type="dxa"/>
            <w:gridSpan w:val="7"/>
            <w:shd w:val="clear" w:color="auto" w:fill="auto"/>
          </w:tcPr>
          <w:p w:rsidR="007C389D" w:rsidRDefault="007C389D" w:rsidP="0022093D">
            <w:pPr>
              <w:pStyle w:val="Title"/>
              <w:jc w:val="left"/>
              <w:rPr>
                <w:b w:val="0"/>
              </w:rPr>
            </w:pPr>
            <w:r>
              <w:t>Attendance:</w:t>
            </w:r>
            <w:r w:rsidR="0022093D">
              <w:t xml:space="preserve"> </w:t>
            </w:r>
            <w:r w:rsidR="0022093D">
              <w:rPr>
                <w:b w:val="0"/>
              </w:rPr>
              <w:t>Mrs. Nichols, Mr. Grout, Mrs. Obear, Mr. Draper, Mrs. Page</w:t>
            </w:r>
          </w:p>
          <w:p w:rsidR="0022093D" w:rsidRPr="0022093D" w:rsidRDefault="0022093D" w:rsidP="0022093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P. Pettit, B. Bedard, S. Balduf, K. Castricone, S. Senf, J. Leach</w:t>
            </w:r>
            <w:r w:rsidR="00B64959">
              <w:rPr>
                <w:b w:val="0"/>
              </w:rPr>
              <w:t>, N. Goodrich-Kresse, K. Pettine</w:t>
            </w:r>
          </w:p>
        </w:tc>
      </w:tr>
      <w:tr w:rsidR="00A06419" w:rsidRPr="00900DA9" w:rsidTr="00904457">
        <w:tblPrEx>
          <w:tblLook w:val="00A0" w:firstRow="1" w:lastRow="0" w:firstColumn="1" w:lastColumn="0" w:noHBand="0" w:noVBand="0"/>
        </w:tblPrEx>
        <w:trPr>
          <w:trHeight w:val="228"/>
        </w:trPr>
        <w:tc>
          <w:tcPr>
            <w:tcW w:w="3978" w:type="dxa"/>
            <w:gridSpan w:val="4"/>
          </w:tcPr>
          <w:p w:rsidR="00A06419" w:rsidRPr="007C389D" w:rsidRDefault="007C389D" w:rsidP="00900DA9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7C389D">
              <w:rPr>
                <w:rFonts w:ascii="Arial" w:hAnsi="Arial" w:cs="Arial"/>
                <w:b/>
                <w:u w:val="single"/>
              </w:rPr>
              <w:t>AGENDA / TOPICS</w:t>
            </w:r>
          </w:p>
        </w:tc>
        <w:tc>
          <w:tcPr>
            <w:tcW w:w="4050" w:type="dxa"/>
            <w:gridSpan w:val="2"/>
          </w:tcPr>
          <w:p w:rsidR="00A06419" w:rsidRPr="007C389D" w:rsidRDefault="007C389D" w:rsidP="00900DA9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7C389D">
              <w:rPr>
                <w:rFonts w:ascii="Arial" w:hAnsi="Arial" w:cs="Arial"/>
                <w:b/>
                <w:u w:val="single"/>
              </w:rPr>
              <w:t>DISCUSSION (CONCISE SUMMARY)</w:t>
            </w:r>
          </w:p>
        </w:tc>
        <w:tc>
          <w:tcPr>
            <w:tcW w:w="2790" w:type="dxa"/>
            <w:gridSpan w:val="2"/>
          </w:tcPr>
          <w:p w:rsidR="00A06419" w:rsidRPr="007C389D" w:rsidRDefault="007C389D" w:rsidP="00900DA9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7C389D">
              <w:rPr>
                <w:rFonts w:ascii="Arial" w:hAnsi="Arial" w:cs="Arial"/>
                <w:b/>
                <w:u w:val="single"/>
              </w:rPr>
              <w:t>ACTION / NEXT STEPS</w:t>
            </w:r>
          </w:p>
        </w:tc>
      </w:tr>
      <w:tr w:rsidR="00A06419" w:rsidRPr="00900DA9" w:rsidTr="00904457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3978" w:type="dxa"/>
            <w:gridSpan w:val="4"/>
          </w:tcPr>
          <w:p w:rsidR="00A06419" w:rsidRPr="00B046A8" w:rsidRDefault="00BC7039" w:rsidP="00220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from </w:t>
            </w:r>
            <w:r w:rsidR="0022093D">
              <w:rPr>
                <w:rFonts w:ascii="Arial" w:hAnsi="Arial" w:cs="Arial"/>
                <w:b/>
                <w:sz w:val="24"/>
                <w:szCs w:val="24"/>
              </w:rPr>
              <w:t>February 2</w:t>
            </w:r>
            <w:r w:rsidR="009217DD">
              <w:rPr>
                <w:rFonts w:ascii="Arial" w:hAnsi="Arial" w:cs="Arial"/>
                <w:b/>
                <w:sz w:val="24"/>
                <w:szCs w:val="24"/>
              </w:rPr>
              <w:t>, 2020</w:t>
            </w:r>
          </w:p>
        </w:tc>
        <w:tc>
          <w:tcPr>
            <w:tcW w:w="4050" w:type="dxa"/>
            <w:gridSpan w:val="2"/>
          </w:tcPr>
          <w:p w:rsidR="00A06419" w:rsidRPr="00900DA9" w:rsidRDefault="00A06419" w:rsidP="00900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06419" w:rsidRDefault="0022093D" w:rsidP="00900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Approved:</w:t>
            </w:r>
          </w:p>
          <w:p w:rsidR="0022093D" w:rsidRDefault="0022093D" w:rsidP="00900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Motion: S. Draper</w:t>
            </w:r>
          </w:p>
          <w:p w:rsidR="0022093D" w:rsidRDefault="0022093D" w:rsidP="00900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Second: M. Obear</w:t>
            </w:r>
          </w:p>
          <w:p w:rsidR="0022093D" w:rsidRPr="00900DA9" w:rsidRDefault="0022093D" w:rsidP="00900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Members in favor.</w:t>
            </w:r>
          </w:p>
        </w:tc>
      </w:tr>
      <w:tr w:rsidR="00A612C7" w:rsidRPr="00900DA9" w:rsidTr="00904457">
        <w:tblPrEx>
          <w:tblLook w:val="00A0" w:firstRow="1" w:lastRow="0" w:firstColumn="1" w:lastColumn="0" w:noHBand="0" w:noVBand="0"/>
        </w:tblPrEx>
        <w:trPr>
          <w:trHeight w:val="629"/>
        </w:trPr>
        <w:tc>
          <w:tcPr>
            <w:tcW w:w="3978" w:type="dxa"/>
            <w:gridSpan w:val="4"/>
          </w:tcPr>
          <w:p w:rsidR="00A612C7" w:rsidRDefault="00B046A8" w:rsidP="007C38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Concerns/Discussions/</w:t>
            </w:r>
          </w:p>
          <w:p w:rsidR="00B046A8" w:rsidRPr="007C389D" w:rsidRDefault="00B046A8" w:rsidP="007C38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Presentations</w:t>
            </w:r>
          </w:p>
        </w:tc>
        <w:tc>
          <w:tcPr>
            <w:tcW w:w="4050" w:type="dxa"/>
            <w:gridSpan w:val="2"/>
          </w:tcPr>
          <w:p w:rsidR="00935A8C" w:rsidRPr="0022093D" w:rsidRDefault="005F6261" w:rsidP="007C38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2093D">
              <w:rPr>
                <w:rFonts w:ascii="Arial" w:hAnsi="Arial" w:cs="Arial"/>
                <w:sz w:val="24"/>
                <w:szCs w:val="24"/>
              </w:rPr>
              <w:t>ublic concerns will be addressed in divisional reports.</w:t>
            </w:r>
          </w:p>
        </w:tc>
        <w:tc>
          <w:tcPr>
            <w:tcW w:w="2790" w:type="dxa"/>
            <w:gridSpan w:val="2"/>
          </w:tcPr>
          <w:p w:rsidR="00DF6362" w:rsidRPr="00900DA9" w:rsidRDefault="0022093D" w:rsidP="00900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Action Required. Informational only.</w:t>
            </w:r>
          </w:p>
        </w:tc>
      </w:tr>
      <w:tr w:rsidR="003F0345" w:rsidRPr="00900DA9" w:rsidTr="00904457">
        <w:tblPrEx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3978" w:type="dxa"/>
            <w:gridSpan w:val="4"/>
          </w:tcPr>
          <w:p w:rsidR="003F0345" w:rsidRDefault="00B046A8" w:rsidP="007C38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Division Reports</w:t>
            </w:r>
          </w:p>
          <w:p w:rsidR="00B046A8" w:rsidRPr="00B046A8" w:rsidRDefault="00B046A8" w:rsidP="003D7E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Health Report</w:t>
            </w:r>
          </w:p>
        </w:tc>
        <w:tc>
          <w:tcPr>
            <w:tcW w:w="4050" w:type="dxa"/>
            <w:gridSpan w:val="2"/>
          </w:tcPr>
          <w:p w:rsidR="00E13EAD" w:rsidRPr="005F6261" w:rsidRDefault="005F6261" w:rsidP="007C38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261">
              <w:rPr>
                <w:rFonts w:ascii="Arial" w:hAnsi="Arial" w:cs="Arial"/>
                <w:sz w:val="24"/>
                <w:szCs w:val="24"/>
              </w:rPr>
              <w:t>Since the last meeting, the department has been doing more COVID vaccination clinics.</w:t>
            </w:r>
          </w:p>
          <w:p w:rsidR="005F6261" w:rsidRPr="00B64959" w:rsidRDefault="005F6261" w:rsidP="007C3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F6261" w:rsidRPr="005F6261" w:rsidRDefault="005F6261" w:rsidP="007C38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261">
              <w:rPr>
                <w:rFonts w:ascii="Arial" w:hAnsi="Arial" w:cs="Arial"/>
                <w:sz w:val="24"/>
                <w:szCs w:val="24"/>
              </w:rPr>
              <w:t xml:space="preserve">Cases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been increasing in congregate settings, specifically in the Genesee County Jail with a number of </w:t>
            </w:r>
            <w:r w:rsidRPr="005F6261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nmates and corrections officers testing positive.</w:t>
            </w:r>
          </w:p>
          <w:p w:rsidR="005F6261" w:rsidRPr="00B64959" w:rsidRDefault="005F6261" w:rsidP="007C3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F6261" w:rsidRPr="005F6261" w:rsidRDefault="00DF785D" w:rsidP="007C38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have been a f</w:t>
            </w:r>
            <w:r w:rsidR="005F6261" w:rsidRPr="005F6261">
              <w:rPr>
                <w:rFonts w:ascii="Arial" w:hAnsi="Arial" w:cs="Arial"/>
                <w:sz w:val="24"/>
                <w:szCs w:val="24"/>
              </w:rPr>
              <w:t xml:space="preserve">ew elevated blood lead levels. Orleans county has a two year old child with a </w:t>
            </w:r>
            <w:r>
              <w:rPr>
                <w:rFonts w:ascii="Arial" w:hAnsi="Arial" w:cs="Arial"/>
                <w:sz w:val="24"/>
                <w:szCs w:val="24"/>
              </w:rPr>
              <w:t xml:space="preserve">blood lead level of </w:t>
            </w:r>
            <w:r w:rsidR="005F6261" w:rsidRPr="005F626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4, which required chelation at Strong Hospital</w:t>
            </w:r>
            <w:r w:rsidR="005F6261" w:rsidRPr="005F62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Both the w</w:t>
            </w:r>
            <w:r w:rsidR="005F6261" w:rsidRPr="005F6261">
              <w:rPr>
                <w:rFonts w:ascii="Arial" w:hAnsi="Arial" w:cs="Arial"/>
                <w:sz w:val="24"/>
                <w:szCs w:val="24"/>
              </w:rPr>
              <w:t xml:space="preserve">indows and doors </w:t>
            </w:r>
            <w:r>
              <w:rPr>
                <w:rFonts w:ascii="Arial" w:hAnsi="Arial" w:cs="Arial"/>
                <w:sz w:val="24"/>
                <w:szCs w:val="24"/>
              </w:rPr>
              <w:t xml:space="preserve">in the home </w:t>
            </w:r>
            <w:r w:rsidR="005F6261" w:rsidRPr="005F6261">
              <w:rPr>
                <w:rFonts w:ascii="Arial" w:hAnsi="Arial" w:cs="Arial"/>
                <w:sz w:val="24"/>
                <w:szCs w:val="24"/>
              </w:rPr>
              <w:t xml:space="preserve">had elevated lead levels. </w:t>
            </w:r>
          </w:p>
          <w:p w:rsidR="005F6261" w:rsidRPr="00B64959" w:rsidRDefault="005F6261" w:rsidP="007C3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F6261" w:rsidRPr="005F6261" w:rsidRDefault="00DF785D" w:rsidP="007C38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a n</w:t>
            </w:r>
            <w:r w:rsidR="005F6261" w:rsidRPr="005F6261">
              <w:rPr>
                <w:rFonts w:ascii="Arial" w:hAnsi="Arial" w:cs="Arial"/>
                <w:sz w:val="24"/>
                <w:szCs w:val="24"/>
              </w:rPr>
              <w:t>ursing position available</w:t>
            </w:r>
            <w:r>
              <w:rPr>
                <w:rFonts w:ascii="Arial" w:hAnsi="Arial" w:cs="Arial"/>
                <w:sz w:val="24"/>
                <w:szCs w:val="24"/>
              </w:rPr>
              <w:t xml:space="preserve"> in Orleans County.</w:t>
            </w:r>
            <w:r w:rsidR="005F6261" w:rsidRPr="005F62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DF6362" w:rsidRDefault="005F6261" w:rsidP="00900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Action Required. Informational only.</w:t>
            </w:r>
          </w:p>
        </w:tc>
      </w:tr>
      <w:tr w:rsidR="00A612C7" w:rsidRPr="00900DA9" w:rsidTr="00904457">
        <w:tblPrEx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3978" w:type="dxa"/>
            <w:gridSpan w:val="4"/>
          </w:tcPr>
          <w:p w:rsidR="00A612C7" w:rsidRPr="00904457" w:rsidRDefault="00B046A8" w:rsidP="00B046A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4457">
              <w:rPr>
                <w:rFonts w:ascii="Arial" w:hAnsi="Arial" w:cs="Arial"/>
                <w:sz w:val="24"/>
                <w:szCs w:val="24"/>
              </w:rPr>
              <w:t>Environmental Report</w:t>
            </w:r>
          </w:p>
        </w:tc>
        <w:tc>
          <w:tcPr>
            <w:tcW w:w="4050" w:type="dxa"/>
            <w:gridSpan w:val="2"/>
          </w:tcPr>
          <w:p w:rsidR="00904457" w:rsidRDefault="003B726B" w:rsidP="00DF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staff are still continuing to work COVID-19 vaccination clinics and complaint related inspections.</w:t>
            </w:r>
          </w:p>
          <w:p w:rsidR="003B726B" w:rsidRPr="00B64959" w:rsidRDefault="003B726B" w:rsidP="00DF78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C7849" w:rsidRDefault="003B726B" w:rsidP="00DF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Activities in other programs such as animal bites, water</w:t>
            </w:r>
            <w:r w:rsidR="007C7849">
              <w:rPr>
                <w:rFonts w:ascii="Arial" w:hAnsi="Arial" w:cs="Arial"/>
                <w:sz w:val="24"/>
                <w:szCs w:val="24"/>
              </w:rPr>
              <w:t xml:space="preserve"> supply</w:t>
            </w:r>
            <w:r>
              <w:rPr>
                <w:rFonts w:ascii="Arial" w:hAnsi="Arial" w:cs="Arial"/>
                <w:sz w:val="24"/>
                <w:szCs w:val="24"/>
              </w:rPr>
              <w:t xml:space="preserve">, septic </w:t>
            </w:r>
            <w:r w:rsidR="007C7849">
              <w:rPr>
                <w:rFonts w:ascii="Arial" w:hAnsi="Arial" w:cs="Arial"/>
                <w:sz w:val="24"/>
                <w:szCs w:val="24"/>
              </w:rPr>
              <w:t>tests, and inspections are starting to pick up.</w:t>
            </w:r>
          </w:p>
          <w:p w:rsidR="00B64959" w:rsidRDefault="00B64959" w:rsidP="00DF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7849" w:rsidRDefault="007C7849" w:rsidP="00DF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Orleans county wate</w:t>
            </w:r>
            <w:r w:rsidR="000729F9">
              <w:rPr>
                <w:rFonts w:ascii="Arial" w:hAnsi="Arial" w:cs="Arial"/>
                <w:sz w:val="24"/>
                <w:szCs w:val="24"/>
              </w:rPr>
              <w:t>r districts continue to expand.</w:t>
            </w:r>
          </w:p>
          <w:p w:rsidR="007C7849" w:rsidRPr="00B64959" w:rsidRDefault="007C7849" w:rsidP="00DF78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B726B" w:rsidRDefault="003B726B" w:rsidP="00DF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Many new restaurants and mobile food services</w:t>
            </w:r>
            <w:r w:rsidR="000729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B726B" w:rsidRPr="00B64959" w:rsidRDefault="003B726B" w:rsidP="00DF78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B726B" w:rsidRDefault="003B726B" w:rsidP="00DF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</w:t>
            </w:r>
            <w:r w:rsidR="000729F9">
              <w:rPr>
                <w:rFonts w:ascii="Arial" w:hAnsi="Arial" w:cs="Arial"/>
                <w:sz w:val="24"/>
                <w:szCs w:val="24"/>
              </w:rPr>
              <w:t xml:space="preserve">d samples in drinking water for schools are </w:t>
            </w:r>
            <w:r>
              <w:rPr>
                <w:rFonts w:ascii="Arial" w:hAnsi="Arial" w:cs="Arial"/>
                <w:sz w:val="24"/>
                <w:szCs w:val="24"/>
              </w:rPr>
              <w:t xml:space="preserve">due </w:t>
            </w:r>
            <w:r w:rsidR="000729F9">
              <w:rPr>
                <w:rFonts w:ascii="Arial" w:hAnsi="Arial" w:cs="Arial"/>
                <w:sz w:val="24"/>
                <w:szCs w:val="24"/>
              </w:rPr>
              <w:t>June</w:t>
            </w:r>
            <w:r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Pr="003B726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B726B" w:rsidRPr="00B64959" w:rsidRDefault="003B726B" w:rsidP="00DF78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B726B" w:rsidRDefault="003B726B" w:rsidP="00DF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Enforcements-</w:t>
            </w:r>
          </w:p>
          <w:p w:rsidR="003B726B" w:rsidRDefault="003B726B" w:rsidP="00DF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Orleans county: </w:t>
            </w:r>
            <w:r w:rsidR="000729F9">
              <w:rPr>
                <w:rFonts w:ascii="Arial" w:hAnsi="Arial" w:cs="Arial"/>
                <w:sz w:val="24"/>
                <w:szCs w:val="24"/>
              </w:rPr>
              <w:t>Village of Holley and Town of Clarendon Public Water Supply’s both received a notice of violation for monitoring violations. The Kendall Inn received a notice of violation for multiple repeat violations.</w:t>
            </w:r>
          </w:p>
          <w:p w:rsidR="000729F9" w:rsidRPr="00B64959" w:rsidRDefault="000729F9" w:rsidP="00DF78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B726B" w:rsidRDefault="00334E89" w:rsidP="00DF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Genesee Co</w:t>
            </w:r>
            <w:r w:rsidR="003B726B">
              <w:rPr>
                <w:rFonts w:ascii="Arial" w:hAnsi="Arial" w:cs="Arial"/>
                <w:sz w:val="24"/>
                <w:szCs w:val="24"/>
              </w:rPr>
              <w:t xml:space="preserve">unty: </w:t>
            </w:r>
            <w:r w:rsidR="000729F9">
              <w:rPr>
                <w:rFonts w:ascii="Arial" w:hAnsi="Arial" w:cs="Arial"/>
                <w:sz w:val="24"/>
                <w:szCs w:val="24"/>
              </w:rPr>
              <w:t>In the T</w:t>
            </w:r>
            <w:r w:rsidR="003B726B">
              <w:rPr>
                <w:rFonts w:ascii="Arial" w:hAnsi="Arial" w:cs="Arial"/>
                <w:sz w:val="24"/>
                <w:szCs w:val="24"/>
              </w:rPr>
              <w:t>obacco</w:t>
            </w:r>
            <w:r w:rsidR="000729F9">
              <w:rPr>
                <w:rFonts w:ascii="Arial" w:hAnsi="Arial" w:cs="Arial"/>
                <w:sz w:val="24"/>
                <w:szCs w:val="24"/>
              </w:rPr>
              <w:t xml:space="preserve"> Control P</w:t>
            </w:r>
            <w:r w:rsidR="003B726B">
              <w:rPr>
                <w:rFonts w:ascii="Arial" w:hAnsi="Arial" w:cs="Arial"/>
                <w:sz w:val="24"/>
                <w:szCs w:val="24"/>
              </w:rPr>
              <w:t>rogram</w:t>
            </w:r>
            <w:r w:rsidR="000729F9">
              <w:rPr>
                <w:rFonts w:ascii="Arial" w:hAnsi="Arial" w:cs="Arial"/>
                <w:sz w:val="24"/>
                <w:szCs w:val="24"/>
              </w:rPr>
              <w:t xml:space="preserve">, four facilities (Circle 3, </w:t>
            </w:r>
            <w:r>
              <w:rPr>
                <w:rFonts w:ascii="Arial" w:hAnsi="Arial" w:cs="Arial"/>
                <w:sz w:val="24"/>
                <w:szCs w:val="24"/>
              </w:rPr>
              <w:t>The Oil Shop, Ontario Service Center, and The TA Travel Center)</w:t>
            </w:r>
            <w:r w:rsidR="003B72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sold tobacco to underage buyers.</w:t>
            </w:r>
            <w:r w:rsidR="00511078">
              <w:rPr>
                <w:rFonts w:ascii="Arial" w:hAnsi="Arial" w:cs="Arial"/>
                <w:sz w:val="24"/>
                <w:szCs w:val="24"/>
              </w:rPr>
              <w:t xml:space="preserve"> Applegrove Mobile Home Park Public Water Supply also received a notice of violation.</w:t>
            </w:r>
          </w:p>
          <w:p w:rsidR="003B726B" w:rsidRPr="00B64959" w:rsidRDefault="003B726B" w:rsidP="00DF78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B726B" w:rsidRDefault="003B726B" w:rsidP="00DF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Clean </w:t>
            </w:r>
            <w:r w:rsidR="00334E8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ndoor </w:t>
            </w:r>
            <w:r w:rsidR="00334E8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ir </w:t>
            </w:r>
            <w:r w:rsidR="00334E8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ct – </w:t>
            </w:r>
            <w:r w:rsidR="00334E89">
              <w:rPr>
                <w:rFonts w:ascii="Arial" w:hAnsi="Arial" w:cs="Arial"/>
                <w:sz w:val="24"/>
                <w:szCs w:val="24"/>
              </w:rPr>
              <w:t>Medina will be opening a cigar lounge.</w:t>
            </w:r>
          </w:p>
          <w:p w:rsidR="00334E89" w:rsidRPr="00B64959" w:rsidRDefault="00334E89" w:rsidP="00DF78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B726B" w:rsidRPr="005F6261" w:rsidRDefault="00511078" w:rsidP="0051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078">
              <w:rPr>
                <w:rFonts w:ascii="Arial" w:hAnsi="Arial" w:cs="Arial"/>
                <w:sz w:val="24"/>
                <w:szCs w:val="24"/>
              </w:rPr>
              <w:t>Orleans C</w:t>
            </w:r>
            <w:r w:rsidR="003B726B" w:rsidRPr="00511078">
              <w:rPr>
                <w:rFonts w:ascii="Arial" w:hAnsi="Arial" w:cs="Arial"/>
                <w:sz w:val="24"/>
                <w:szCs w:val="24"/>
              </w:rPr>
              <w:t>ounty had a rabid cat</w:t>
            </w:r>
            <w:r w:rsidRPr="00511078">
              <w:rPr>
                <w:rFonts w:ascii="Arial" w:hAnsi="Arial" w:cs="Arial"/>
                <w:sz w:val="24"/>
                <w:szCs w:val="24"/>
              </w:rPr>
              <w:t>, and will require one person to be treated</w:t>
            </w:r>
            <w:r w:rsidR="003B726B" w:rsidRPr="00511078">
              <w:rPr>
                <w:rFonts w:ascii="Arial" w:hAnsi="Arial" w:cs="Arial"/>
                <w:sz w:val="24"/>
                <w:szCs w:val="24"/>
              </w:rPr>
              <w:t>.</w:t>
            </w:r>
            <w:r w:rsidRPr="00511078">
              <w:rPr>
                <w:rFonts w:ascii="Arial" w:hAnsi="Arial" w:cs="Arial"/>
                <w:sz w:val="24"/>
                <w:szCs w:val="24"/>
              </w:rPr>
              <w:t xml:space="preserve"> The next rabies clinic in Orleans Co</w:t>
            </w:r>
            <w:r w:rsidR="003B726B" w:rsidRPr="00511078">
              <w:rPr>
                <w:rFonts w:ascii="Arial" w:hAnsi="Arial" w:cs="Arial"/>
                <w:sz w:val="24"/>
                <w:szCs w:val="24"/>
              </w:rPr>
              <w:t xml:space="preserve">unty </w:t>
            </w:r>
            <w:r w:rsidRPr="00511078">
              <w:rPr>
                <w:rFonts w:ascii="Arial" w:hAnsi="Arial" w:cs="Arial"/>
                <w:sz w:val="24"/>
                <w:szCs w:val="24"/>
              </w:rPr>
              <w:t>is April 25</w:t>
            </w:r>
            <w:r w:rsidRPr="0051107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Genesee County clinic is May 20</w:t>
            </w:r>
            <w:r w:rsidRPr="0051107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</w:tcPr>
          <w:p w:rsidR="005E256B" w:rsidRDefault="005F6261" w:rsidP="00900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 Action Required. Informational only.</w:t>
            </w:r>
          </w:p>
        </w:tc>
      </w:tr>
      <w:tr w:rsidR="003F0345" w:rsidRPr="00900DA9" w:rsidTr="00904457">
        <w:tblPrEx>
          <w:tblLook w:val="00A0" w:firstRow="1" w:lastRow="0" w:firstColumn="1" w:lastColumn="0" w:noHBand="0" w:noVBand="0"/>
        </w:tblPrEx>
        <w:trPr>
          <w:trHeight w:val="629"/>
        </w:trPr>
        <w:tc>
          <w:tcPr>
            <w:tcW w:w="3978" w:type="dxa"/>
            <w:gridSpan w:val="4"/>
          </w:tcPr>
          <w:p w:rsidR="003F0345" w:rsidRPr="00904457" w:rsidRDefault="00B046A8" w:rsidP="00B046A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4457">
              <w:rPr>
                <w:rFonts w:ascii="Arial" w:hAnsi="Arial" w:cs="Arial"/>
                <w:sz w:val="24"/>
                <w:szCs w:val="24"/>
              </w:rPr>
              <w:t>Financial Report</w:t>
            </w:r>
          </w:p>
        </w:tc>
        <w:tc>
          <w:tcPr>
            <w:tcW w:w="4050" w:type="dxa"/>
            <w:gridSpan w:val="2"/>
          </w:tcPr>
          <w:p w:rsidR="003C2593" w:rsidRDefault="003B726B" w:rsidP="00DF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Genesee County – </w:t>
            </w:r>
            <w:r w:rsidR="00511078">
              <w:rPr>
                <w:rFonts w:ascii="Arial" w:hAnsi="Arial" w:cs="Arial"/>
                <w:sz w:val="24"/>
                <w:szCs w:val="24"/>
              </w:rPr>
              <w:t>2021 State aid application has been approved.</w:t>
            </w:r>
          </w:p>
          <w:p w:rsidR="003B726B" w:rsidRPr="00B64959" w:rsidRDefault="003B726B" w:rsidP="00DF78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B726B" w:rsidRPr="00DF785D" w:rsidRDefault="003B726B" w:rsidP="0051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Orleans county – 2021 state aid application was </w:t>
            </w:r>
            <w:r w:rsidR="00511078">
              <w:rPr>
                <w:rFonts w:ascii="Arial" w:hAnsi="Arial" w:cs="Arial"/>
                <w:sz w:val="24"/>
                <w:szCs w:val="24"/>
              </w:rPr>
              <w:t xml:space="preserve">submitted and approved. </w:t>
            </w:r>
          </w:p>
        </w:tc>
        <w:tc>
          <w:tcPr>
            <w:tcW w:w="2790" w:type="dxa"/>
            <w:gridSpan w:val="2"/>
          </w:tcPr>
          <w:p w:rsidR="00DF6362" w:rsidRPr="002A4B73" w:rsidRDefault="005F6261" w:rsidP="00900D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Action Required. Informational only.</w:t>
            </w:r>
          </w:p>
        </w:tc>
      </w:tr>
      <w:tr w:rsidR="003F0345" w:rsidRPr="00900DA9" w:rsidTr="00904457">
        <w:tblPrEx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3978" w:type="dxa"/>
            <w:gridSpan w:val="4"/>
          </w:tcPr>
          <w:p w:rsidR="003F0345" w:rsidRPr="00904457" w:rsidRDefault="00B046A8" w:rsidP="00B046A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4457">
              <w:rPr>
                <w:rFonts w:ascii="Arial" w:hAnsi="Arial" w:cs="Arial"/>
                <w:sz w:val="24"/>
                <w:szCs w:val="24"/>
              </w:rPr>
              <w:t>Corporate Compliance Report</w:t>
            </w:r>
          </w:p>
        </w:tc>
        <w:tc>
          <w:tcPr>
            <w:tcW w:w="4050" w:type="dxa"/>
            <w:gridSpan w:val="2"/>
          </w:tcPr>
          <w:p w:rsidR="003B726B" w:rsidRDefault="003B726B" w:rsidP="00DF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Genesee county – </w:t>
            </w:r>
            <w:r w:rsidR="00511078">
              <w:rPr>
                <w:rFonts w:ascii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hAnsi="Arial" w:cs="Arial"/>
                <w:sz w:val="24"/>
                <w:szCs w:val="24"/>
              </w:rPr>
              <w:t>Monday</w:t>
            </w:r>
            <w:r w:rsidR="00511078">
              <w:rPr>
                <w:rFonts w:ascii="Arial" w:hAnsi="Arial" w:cs="Arial"/>
                <w:sz w:val="24"/>
                <w:szCs w:val="24"/>
              </w:rPr>
              <w:t>, there was another HIPAA</w:t>
            </w:r>
            <w:r>
              <w:rPr>
                <w:rFonts w:ascii="Arial" w:hAnsi="Arial" w:cs="Arial"/>
                <w:sz w:val="24"/>
                <w:szCs w:val="24"/>
              </w:rPr>
              <w:t xml:space="preserve"> violation</w:t>
            </w:r>
            <w:r w:rsidR="00511078">
              <w:rPr>
                <w:rFonts w:ascii="Arial" w:hAnsi="Arial" w:cs="Arial"/>
                <w:sz w:val="24"/>
                <w:szCs w:val="24"/>
              </w:rPr>
              <w:t xml:space="preserve">, COVID-19 results were </w:t>
            </w:r>
            <w:r>
              <w:rPr>
                <w:rFonts w:ascii="Arial" w:hAnsi="Arial" w:cs="Arial"/>
                <w:sz w:val="24"/>
                <w:szCs w:val="24"/>
              </w:rPr>
              <w:t>emailed to wrong person.</w:t>
            </w:r>
          </w:p>
          <w:p w:rsidR="003B726B" w:rsidRPr="00B64959" w:rsidRDefault="003B726B" w:rsidP="00DF78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B726B" w:rsidRPr="00DF785D" w:rsidRDefault="00511078" w:rsidP="0051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repercussions</w:t>
            </w:r>
            <w:r w:rsidR="003B726B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="003B726B">
              <w:rPr>
                <w:rFonts w:ascii="Arial" w:hAnsi="Arial" w:cs="Arial"/>
                <w:sz w:val="24"/>
                <w:szCs w:val="24"/>
              </w:rPr>
              <w:t>past violations.</w:t>
            </w:r>
          </w:p>
        </w:tc>
        <w:tc>
          <w:tcPr>
            <w:tcW w:w="2790" w:type="dxa"/>
            <w:gridSpan w:val="2"/>
          </w:tcPr>
          <w:p w:rsidR="003F0345" w:rsidRPr="00643C9F" w:rsidRDefault="005F6261" w:rsidP="00900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Action Required. Informational only.</w:t>
            </w:r>
          </w:p>
        </w:tc>
      </w:tr>
      <w:tr w:rsidR="003F0345" w:rsidRPr="00900DA9" w:rsidTr="00904457">
        <w:tblPrEx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3978" w:type="dxa"/>
            <w:gridSpan w:val="4"/>
          </w:tcPr>
          <w:p w:rsidR="003F0345" w:rsidRPr="00904457" w:rsidRDefault="00CF4906" w:rsidP="00CF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Arial" w:hAnsi="Arial" w:cs="Arial"/>
                <w:i w:val="0"/>
                <w:color w:val="auto"/>
                <w:sz w:val="24"/>
                <w:szCs w:val="24"/>
              </w:rPr>
              <w:t>Public Health Education Report</w:t>
            </w:r>
          </w:p>
        </w:tc>
        <w:tc>
          <w:tcPr>
            <w:tcW w:w="4050" w:type="dxa"/>
            <w:gridSpan w:val="2"/>
          </w:tcPr>
          <w:p w:rsidR="00E13EAD" w:rsidRPr="005F6261" w:rsidRDefault="0022093D" w:rsidP="0022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261">
              <w:rPr>
                <w:rFonts w:ascii="Arial" w:hAnsi="Arial" w:cs="Arial"/>
                <w:sz w:val="24"/>
                <w:szCs w:val="24"/>
              </w:rPr>
              <w:t>The written report is attached and a component of these official minutes.</w:t>
            </w:r>
          </w:p>
        </w:tc>
        <w:tc>
          <w:tcPr>
            <w:tcW w:w="2790" w:type="dxa"/>
            <w:gridSpan w:val="2"/>
          </w:tcPr>
          <w:p w:rsidR="003F0345" w:rsidRPr="00900DA9" w:rsidRDefault="005F6261" w:rsidP="00900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Action Required. Informational only.</w:t>
            </w:r>
          </w:p>
        </w:tc>
      </w:tr>
      <w:tr w:rsidR="00B046A8" w:rsidRPr="00900DA9" w:rsidTr="00904457">
        <w:tblPrEx>
          <w:tblLook w:val="00A0" w:firstRow="1" w:lastRow="0" w:firstColumn="1" w:lastColumn="0" w:noHBand="0" w:noVBand="0"/>
        </w:tblPrEx>
        <w:trPr>
          <w:trHeight w:val="611"/>
        </w:trPr>
        <w:tc>
          <w:tcPr>
            <w:tcW w:w="3978" w:type="dxa"/>
            <w:gridSpan w:val="4"/>
          </w:tcPr>
          <w:p w:rsidR="00850E1E" w:rsidRPr="00CF4906" w:rsidRDefault="00B046A8" w:rsidP="00850E1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4457">
              <w:rPr>
                <w:rFonts w:ascii="Arial" w:hAnsi="Arial" w:cs="Arial"/>
                <w:sz w:val="24"/>
                <w:szCs w:val="24"/>
              </w:rPr>
              <w:t>Director's Report</w:t>
            </w:r>
          </w:p>
        </w:tc>
        <w:tc>
          <w:tcPr>
            <w:tcW w:w="4050" w:type="dxa"/>
            <w:gridSpan w:val="2"/>
          </w:tcPr>
          <w:p w:rsidR="00B046A8" w:rsidRDefault="00B64959" w:rsidP="00CF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</w:t>
            </w:r>
            <w:r w:rsidR="008A49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Pettit welcomes K. Pettine as the new Public Health Educator for Genesee County.</w:t>
            </w:r>
          </w:p>
          <w:p w:rsidR="00B64959" w:rsidRDefault="00B64959" w:rsidP="00CF49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64959" w:rsidRDefault="00B64959" w:rsidP="00CF49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64959" w:rsidRPr="00B64959" w:rsidRDefault="00B64959" w:rsidP="00CF49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64959" w:rsidRDefault="00B64959" w:rsidP="00CF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It is Public Health week, so the education departments will be putting out a press release.</w:t>
            </w:r>
          </w:p>
          <w:p w:rsidR="00B64959" w:rsidRPr="00B64959" w:rsidRDefault="00B64959" w:rsidP="00CF49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64959" w:rsidRDefault="00B64959" w:rsidP="00CF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a vacant Public Health Nursing position in Orleans County. There</w:t>
            </w:r>
            <w:r w:rsidR="009E6303">
              <w:rPr>
                <w:rFonts w:ascii="Arial" w:hAnsi="Arial" w:cs="Arial"/>
                <w:sz w:val="24"/>
                <w:szCs w:val="24"/>
              </w:rPr>
              <w:t xml:space="preserve"> are also two vacancies in Genesee County, a </w:t>
            </w:r>
            <w:r>
              <w:rPr>
                <w:rFonts w:ascii="Arial" w:hAnsi="Arial" w:cs="Arial"/>
                <w:sz w:val="24"/>
                <w:szCs w:val="24"/>
              </w:rPr>
              <w:t>temporary covid-19 support position and Se</w:t>
            </w:r>
            <w:r w:rsidR="009E6303">
              <w:rPr>
                <w:rFonts w:ascii="Arial" w:hAnsi="Arial" w:cs="Arial"/>
                <w:sz w:val="24"/>
                <w:szCs w:val="24"/>
              </w:rPr>
              <w:t>asonal Public Health Technician.</w:t>
            </w:r>
          </w:p>
          <w:p w:rsidR="00B64959" w:rsidRPr="009E6303" w:rsidRDefault="00B64959" w:rsidP="00CF49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64959" w:rsidRDefault="009E6303" w:rsidP="00CF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nursing intern from the University of Buffalo will be helping Genesee County for the summer.</w:t>
            </w:r>
          </w:p>
          <w:p w:rsidR="009E6303" w:rsidRPr="009E6303" w:rsidRDefault="009E6303" w:rsidP="00CF49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E6303" w:rsidRDefault="009E6303" w:rsidP="00CF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state employees who are assisting with COVID-19 duties will be leaving at the end of May.</w:t>
            </w:r>
          </w:p>
          <w:p w:rsidR="009E6303" w:rsidRPr="009E6303" w:rsidRDefault="009E6303" w:rsidP="00CF49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E6303" w:rsidRDefault="009E6303" w:rsidP="009E63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State budget has not been passed yet, but there is a projected 20% decrease in State Ai and grant funding.</w:t>
            </w:r>
          </w:p>
          <w:p w:rsidR="009E6303" w:rsidRPr="009E6303" w:rsidRDefault="009E6303" w:rsidP="009E63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E6303" w:rsidRDefault="009E6303" w:rsidP="009E63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Early Intervention and 3-5 Preschool referrals are very high, and currently backlogged on evaluations.</w:t>
            </w:r>
          </w:p>
          <w:p w:rsidR="009E6303" w:rsidRPr="009E6303" w:rsidRDefault="009E6303" w:rsidP="009E63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E6303" w:rsidRDefault="009E6303" w:rsidP="009E63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County will re-evaluate the bussing contract; there is a possibility for a four-county approach.</w:t>
            </w:r>
          </w:p>
          <w:p w:rsidR="009E6303" w:rsidRPr="009E6303" w:rsidRDefault="009E6303" w:rsidP="009E63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E6303" w:rsidRDefault="009E6303" w:rsidP="009E63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Marijuana has passed after three years of opposition. </w:t>
            </w:r>
          </w:p>
          <w:p w:rsidR="009E6303" w:rsidRPr="009E6303" w:rsidRDefault="009E6303" w:rsidP="009E63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E6303" w:rsidRDefault="009E6303" w:rsidP="009E63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Health Education and Lead Division are working on a five year grant between four counties to provide screening, testing, education, and prevention. This grant is due in April.</w:t>
            </w:r>
          </w:p>
          <w:p w:rsidR="00D960BE" w:rsidRPr="00D960BE" w:rsidRDefault="00D960BE" w:rsidP="009E63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60BE" w:rsidRDefault="00D960BE" w:rsidP="009E63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vaccination rate for the Finger Lakes Region is 35.8%. Orleans County is at 25% and Genesee County at 31.1%. Both Health Departments are trying to work with Migrant </w:t>
            </w:r>
            <w:r w:rsidR="008A497B">
              <w:rPr>
                <w:rFonts w:ascii="Arial" w:hAnsi="Arial" w:cs="Arial"/>
                <w:sz w:val="24"/>
                <w:szCs w:val="24"/>
              </w:rPr>
              <w:t>Farmworker’s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Mennonite communities.</w:t>
            </w:r>
          </w:p>
          <w:p w:rsidR="009E6303" w:rsidRPr="009E6303" w:rsidRDefault="009E6303" w:rsidP="009E63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E6303" w:rsidRDefault="00D960BE" w:rsidP="00D96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Reopening guidance is slow from the state for parades, and festivals. </w:t>
            </w:r>
          </w:p>
          <w:p w:rsidR="00D960BE" w:rsidRDefault="00D960BE" w:rsidP="00D960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60BE" w:rsidRDefault="00D960BE" w:rsidP="00D960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60BE" w:rsidRPr="00D960BE" w:rsidRDefault="00D960BE" w:rsidP="00D960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60BE" w:rsidRDefault="00D960BE" w:rsidP="00D96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Schools currently can’t go to three feet distancing. The state is evaluating the guidance and CDC recommendations. Transportation could be a problem for larger schools.</w:t>
            </w:r>
          </w:p>
          <w:p w:rsidR="00D960BE" w:rsidRPr="00D960BE" w:rsidRDefault="00D960BE" w:rsidP="00D960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60BE" w:rsidRPr="005F6261" w:rsidRDefault="00D960BE" w:rsidP="00D96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Pettit would like to recognize staff for the hard work, long hours, and dedication during the pandemic.</w:t>
            </w:r>
          </w:p>
        </w:tc>
        <w:tc>
          <w:tcPr>
            <w:tcW w:w="2790" w:type="dxa"/>
            <w:gridSpan w:val="2"/>
          </w:tcPr>
          <w:p w:rsidR="00B046A8" w:rsidRPr="00900DA9" w:rsidRDefault="005F6261" w:rsidP="00900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 Action Required. Informational only.</w:t>
            </w:r>
          </w:p>
        </w:tc>
      </w:tr>
      <w:tr w:rsidR="00B046A8" w:rsidRPr="00900DA9" w:rsidTr="00904457">
        <w:tblPrEx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3978" w:type="dxa"/>
            <w:gridSpan w:val="4"/>
          </w:tcPr>
          <w:p w:rsidR="00B046A8" w:rsidRPr="00904457" w:rsidRDefault="00B046A8" w:rsidP="006D20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4457">
              <w:rPr>
                <w:rFonts w:ascii="Arial" w:hAnsi="Arial" w:cs="Arial"/>
                <w:b/>
                <w:sz w:val="24"/>
                <w:szCs w:val="24"/>
              </w:rPr>
              <w:lastRenderedPageBreak/>
              <w:t>Old Business</w:t>
            </w:r>
          </w:p>
        </w:tc>
        <w:tc>
          <w:tcPr>
            <w:tcW w:w="4050" w:type="dxa"/>
            <w:gridSpan w:val="2"/>
          </w:tcPr>
          <w:p w:rsidR="00B046A8" w:rsidRPr="005F6261" w:rsidRDefault="005F6261" w:rsidP="005F6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old business.</w:t>
            </w:r>
          </w:p>
        </w:tc>
        <w:tc>
          <w:tcPr>
            <w:tcW w:w="2790" w:type="dxa"/>
            <w:gridSpan w:val="2"/>
          </w:tcPr>
          <w:p w:rsidR="00B046A8" w:rsidRPr="00900DA9" w:rsidRDefault="005F6261" w:rsidP="00900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Action Required. Informational only.</w:t>
            </w:r>
          </w:p>
        </w:tc>
      </w:tr>
      <w:tr w:rsidR="00B046A8" w:rsidRPr="00900DA9" w:rsidTr="00904457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3978" w:type="dxa"/>
            <w:gridSpan w:val="4"/>
          </w:tcPr>
          <w:p w:rsidR="006F412B" w:rsidRDefault="00B046A8" w:rsidP="009044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Business</w:t>
            </w:r>
          </w:p>
          <w:p w:rsidR="00F74C8A" w:rsidRPr="00CF4906" w:rsidRDefault="00904457" w:rsidP="00CF49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Quality Improvement Committee/Quality Assurance Committee </w:t>
            </w:r>
            <w:r w:rsidRPr="00CF4906">
              <w:rPr>
                <w:rFonts w:ascii="Arial" w:hAnsi="Arial" w:cs="Arial"/>
                <w:sz w:val="24"/>
                <w:szCs w:val="24"/>
              </w:rPr>
              <w:t xml:space="preserve">(QIC/QAC) Report for </w:t>
            </w:r>
            <w:r w:rsidR="00CF4906" w:rsidRPr="00CF4906">
              <w:rPr>
                <w:rFonts w:ascii="Arial" w:hAnsi="Arial" w:cs="Arial"/>
                <w:sz w:val="24"/>
                <w:szCs w:val="24"/>
              </w:rPr>
              <w:t>03/17</w:t>
            </w:r>
            <w:r w:rsidRPr="00CF4906">
              <w:rPr>
                <w:rFonts w:ascii="Arial" w:hAnsi="Arial" w:cs="Arial"/>
                <w:sz w:val="24"/>
                <w:szCs w:val="24"/>
              </w:rPr>
              <w:t>/2</w:t>
            </w:r>
            <w:r w:rsidR="00CF4906" w:rsidRPr="00CF4906">
              <w:rPr>
                <w:rFonts w:ascii="Arial" w:hAnsi="Arial" w:cs="Arial"/>
                <w:sz w:val="24"/>
                <w:szCs w:val="24"/>
              </w:rPr>
              <w:t>1</w:t>
            </w:r>
            <w:r w:rsidRPr="00CF49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50" w:type="dxa"/>
            <w:gridSpan w:val="2"/>
          </w:tcPr>
          <w:p w:rsidR="00904457" w:rsidRPr="00904457" w:rsidRDefault="005F6261" w:rsidP="00F74C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QIC/QAC Report.</w:t>
            </w:r>
          </w:p>
        </w:tc>
        <w:tc>
          <w:tcPr>
            <w:tcW w:w="2790" w:type="dxa"/>
            <w:gridSpan w:val="2"/>
          </w:tcPr>
          <w:p w:rsidR="00B046A8" w:rsidRPr="00900DA9" w:rsidRDefault="005F6261" w:rsidP="00900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Action Required. Informational only.</w:t>
            </w:r>
          </w:p>
        </w:tc>
      </w:tr>
      <w:tr w:rsidR="00B046A8" w:rsidRPr="00900DA9" w:rsidTr="00904457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3978" w:type="dxa"/>
            <w:gridSpan w:val="4"/>
          </w:tcPr>
          <w:p w:rsidR="00B046A8" w:rsidRPr="00B3236D" w:rsidRDefault="00B046A8" w:rsidP="006D20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050" w:type="dxa"/>
            <w:gridSpan w:val="2"/>
          </w:tcPr>
          <w:p w:rsidR="00B046A8" w:rsidRPr="00900DA9" w:rsidRDefault="00B046A8" w:rsidP="00055CD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B046A8" w:rsidRPr="00900DA9" w:rsidRDefault="00B046A8" w:rsidP="00900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A8" w:rsidRPr="00900DA9" w:rsidTr="00904457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3978" w:type="dxa"/>
            <w:gridSpan w:val="4"/>
          </w:tcPr>
          <w:p w:rsidR="00B046A8" w:rsidRPr="00B3236D" w:rsidRDefault="00B046A8" w:rsidP="006D20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Adjournment</w:t>
            </w:r>
          </w:p>
        </w:tc>
        <w:tc>
          <w:tcPr>
            <w:tcW w:w="4050" w:type="dxa"/>
            <w:gridSpan w:val="2"/>
          </w:tcPr>
          <w:p w:rsidR="00B046A8" w:rsidRPr="00900DA9" w:rsidRDefault="00B046A8" w:rsidP="00055CD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B046A8" w:rsidRDefault="005F6261" w:rsidP="00900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Motion: K. Nichols</w:t>
            </w:r>
          </w:p>
          <w:p w:rsidR="005F6261" w:rsidRDefault="005F6261" w:rsidP="005F6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Second: D. Page</w:t>
            </w:r>
          </w:p>
          <w:p w:rsidR="005F6261" w:rsidRPr="00900DA9" w:rsidRDefault="005F6261" w:rsidP="005F6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members in favor.</w:t>
            </w:r>
          </w:p>
        </w:tc>
      </w:tr>
      <w:tr w:rsidR="003F0345" w:rsidRPr="00900DA9" w:rsidTr="00904457">
        <w:tblPrEx>
          <w:tblLook w:val="00A0" w:firstRow="1" w:lastRow="0" w:firstColumn="1" w:lastColumn="0" w:noHBand="0" w:noVBand="0"/>
        </w:tblPrEx>
        <w:trPr>
          <w:trHeight w:val="1268"/>
        </w:trPr>
        <w:tc>
          <w:tcPr>
            <w:tcW w:w="3978" w:type="dxa"/>
            <w:gridSpan w:val="4"/>
          </w:tcPr>
          <w:p w:rsidR="003F0345" w:rsidRDefault="00B3236D" w:rsidP="006D20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236D">
              <w:rPr>
                <w:rFonts w:ascii="Arial" w:hAnsi="Arial" w:cs="Arial"/>
                <w:b/>
                <w:sz w:val="24"/>
                <w:szCs w:val="24"/>
              </w:rPr>
              <w:t>Next meeting:</w:t>
            </w:r>
          </w:p>
          <w:p w:rsidR="00B046A8" w:rsidRPr="00904457" w:rsidRDefault="005F6261" w:rsidP="009044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Genesee</w:t>
            </w:r>
            <w:r w:rsidR="00CF49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61A7" w:rsidRPr="00904457">
              <w:rPr>
                <w:rFonts w:ascii="Arial" w:hAnsi="Arial" w:cs="Arial"/>
                <w:sz w:val="24"/>
                <w:szCs w:val="24"/>
              </w:rPr>
              <w:t>County</w:t>
            </w:r>
            <w:r w:rsidR="00904457" w:rsidRPr="00904457">
              <w:rPr>
                <w:rFonts w:ascii="Arial" w:hAnsi="Arial" w:cs="Arial"/>
                <w:sz w:val="24"/>
                <w:szCs w:val="24"/>
              </w:rPr>
              <w:t>/Zoom</w:t>
            </w:r>
          </w:p>
          <w:p w:rsidR="00125999" w:rsidRPr="00B046A8" w:rsidRDefault="00D8114D" w:rsidP="00D811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="00CF490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500F6" w:rsidRPr="00904457">
              <w:rPr>
                <w:rFonts w:ascii="Arial" w:hAnsi="Arial" w:cs="Arial"/>
                <w:sz w:val="24"/>
                <w:szCs w:val="24"/>
              </w:rPr>
              <w:t>, 202</w:t>
            </w:r>
            <w:r w:rsidR="00904457">
              <w:rPr>
                <w:rFonts w:ascii="Arial" w:hAnsi="Arial" w:cs="Arial"/>
                <w:sz w:val="24"/>
                <w:szCs w:val="24"/>
              </w:rPr>
              <w:t>1</w:t>
            </w:r>
            <w:r w:rsidR="00904457" w:rsidRPr="00904457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125999" w:rsidRPr="00904457">
              <w:rPr>
                <w:rFonts w:ascii="Arial" w:hAnsi="Arial" w:cs="Arial"/>
                <w:sz w:val="24"/>
                <w:szCs w:val="24"/>
              </w:rPr>
              <w:t>4:00 p.m.</w:t>
            </w:r>
          </w:p>
        </w:tc>
        <w:tc>
          <w:tcPr>
            <w:tcW w:w="4050" w:type="dxa"/>
            <w:gridSpan w:val="2"/>
          </w:tcPr>
          <w:p w:rsidR="003F0345" w:rsidRPr="00900DA9" w:rsidRDefault="003F0345" w:rsidP="00055CD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3F0345" w:rsidRPr="00900DA9" w:rsidRDefault="003F0345" w:rsidP="00900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1542" w:rsidRPr="008E5770" w:rsidRDefault="00A91542" w:rsidP="00A9154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A91542" w:rsidRPr="008E5770" w:rsidSect="00C23E9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29083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F7BB2"/>
    <w:multiLevelType w:val="hybridMultilevel"/>
    <w:tmpl w:val="64D0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3B60"/>
    <w:multiLevelType w:val="hybridMultilevel"/>
    <w:tmpl w:val="F6A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1F59"/>
    <w:multiLevelType w:val="hybridMultilevel"/>
    <w:tmpl w:val="86DE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A05CF"/>
    <w:multiLevelType w:val="hybridMultilevel"/>
    <w:tmpl w:val="F142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2065"/>
    <w:multiLevelType w:val="hybridMultilevel"/>
    <w:tmpl w:val="D684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4237"/>
    <w:multiLevelType w:val="hybridMultilevel"/>
    <w:tmpl w:val="154C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949C8"/>
    <w:multiLevelType w:val="hybridMultilevel"/>
    <w:tmpl w:val="62945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DA5B8C"/>
    <w:multiLevelType w:val="hybridMultilevel"/>
    <w:tmpl w:val="A5C8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58E"/>
    <w:multiLevelType w:val="hybridMultilevel"/>
    <w:tmpl w:val="2D88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179D"/>
    <w:multiLevelType w:val="hybridMultilevel"/>
    <w:tmpl w:val="8D94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B4548"/>
    <w:multiLevelType w:val="hybridMultilevel"/>
    <w:tmpl w:val="22C0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77ADD"/>
    <w:multiLevelType w:val="hybridMultilevel"/>
    <w:tmpl w:val="94E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F5EFD"/>
    <w:multiLevelType w:val="hybridMultilevel"/>
    <w:tmpl w:val="C6D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C1285"/>
    <w:multiLevelType w:val="hybridMultilevel"/>
    <w:tmpl w:val="A26C8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933172"/>
    <w:multiLevelType w:val="hybridMultilevel"/>
    <w:tmpl w:val="AF7CC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CB2CFD"/>
    <w:multiLevelType w:val="hybridMultilevel"/>
    <w:tmpl w:val="6C70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6"/>
  </w:num>
  <w:num w:numId="12">
    <w:abstractNumId w:val="2"/>
  </w:num>
  <w:num w:numId="13">
    <w:abstractNumId w:val="0"/>
  </w:num>
  <w:num w:numId="14">
    <w:abstractNumId w:val="10"/>
  </w:num>
  <w:num w:numId="15">
    <w:abstractNumId w:val="13"/>
  </w:num>
  <w:num w:numId="16">
    <w:abstractNumId w:val="14"/>
  </w:num>
  <w:num w:numId="17">
    <w:abstractNumId w:val="15"/>
  </w:num>
  <w:num w:numId="18">
    <w:abstractNumId w:val="5"/>
  </w:num>
  <w:num w:numId="19">
    <w:abstractNumId w:val="9"/>
  </w:num>
  <w:num w:numId="20">
    <w:abstractNumId w:val="1"/>
  </w:num>
  <w:num w:numId="21">
    <w:abstractNumId w:val="12"/>
  </w:num>
  <w:num w:numId="22">
    <w:abstractNumId w:val="4"/>
  </w:num>
  <w:num w:numId="23">
    <w:abstractNumId w:val="11"/>
  </w:num>
  <w:num w:numId="24">
    <w:abstractNumId w:val="8"/>
  </w:num>
  <w:num w:numId="25">
    <w:abstractNumId w:val="7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B7"/>
    <w:rsid w:val="00033C07"/>
    <w:rsid w:val="00052F3D"/>
    <w:rsid w:val="00055C30"/>
    <w:rsid w:val="00055CD4"/>
    <w:rsid w:val="00056677"/>
    <w:rsid w:val="000729F9"/>
    <w:rsid w:val="000B444F"/>
    <w:rsid w:val="000C0493"/>
    <w:rsid w:val="000D0914"/>
    <w:rsid w:val="000D1CA5"/>
    <w:rsid w:val="000E2B93"/>
    <w:rsid w:val="000F6E48"/>
    <w:rsid w:val="00116279"/>
    <w:rsid w:val="00125999"/>
    <w:rsid w:val="00142102"/>
    <w:rsid w:val="001B5042"/>
    <w:rsid w:val="00203217"/>
    <w:rsid w:val="0022093D"/>
    <w:rsid w:val="00233973"/>
    <w:rsid w:val="002358BD"/>
    <w:rsid w:val="00235F95"/>
    <w:rsid w:val="002738DA"/>
    <w:rsid w:val="00287628"/>
    <w:rsid w:val="002919B5"/>
    <w:rsid w:val="00297DF2"/>
    <w:rsid w:val="002A4B73"/>
    <w:rsid w:val="002C19E4"/>
    <w:rsid w:val="002D1263"/>
    <w:rsid w:val="002E746E"/>
    <w:rsid w:val="002F4F8A"/>
    <w:rsid w:val="00320A01"/>
    <w:rsid w:val="00334E89"/>
    <w:rsid w:val="00370197"/>
    <w:rsid w:val="00376DC0"/>
    <w:rsid w:val="003B726B"/>
    <w:rsid w:val="003C2593"/>
    <w:rsid w:val="003D7EF4"/>
    <w:rsid w:val="003E50E2"/>
    <w:rsid w:val="003F0345"/>
    <w:rsid w:val="00400841"/>
    <w:rsid w:val="00466325"/>
    <w:rsid w:val="00496CE4"/>
    <w:rsid w:val="004A29DF"/>
    <w:rsid w:val="004B6335"/>
    <w:rsid w:val="004E3F0F"/>
    <w:rsid w:val="00511078"/>
    <w:rsid w:val="00514717"/>
    <w:rsid w:val="005358FD"/>
    <w:rsid w:val="00551D35"/>
    <w:rsid w:val="00582535"/>
    <w:rsid w:val="005A6D75"/>
    <w:rsid w:val="005E256B"/>
    <w:rsid w:val="005F15E3"/>
    <w:rsid w:val="005F6261"/>
    <w:rsid w:val="00605AA4"/>
    <w:rsid w:val="006061A7"/>
    <w:rsid w:val="006075D2"/>
    <w:rsid w:val="006218BE"/>
    <w:rsid w:val="00625E14"/>
    <w:rsid w:val="006412B7"/>
    <w:rsid w:val="00643C9F"/>
    <w:rsid w:val="006572E5"/>
    <w:rsid w:val="0066260B"/>
    <w:rsid w:val="00674386"/>
    <w:rsid w:val="006A642E"/>
    <w:rsid w:val="006C549C"/>
    <w:rsid w:val="006D0A41"/>
    <w:rsid w:val="006D20AC"/>
    <w:rsid w:val="006D482F"/>
    <w:rsid w:val="006F412B"/>
    <w:rsid w:val="00701652"/>
    <w:rsid w:val="007260B4"/>
    <w:rsid w:val="007304D5"/>
    <w:rsid w:val="007331A8"/>
    <w:rsid w:val="0073474D"/>
    <w:rsid w:val="00756577"/>
    <w:rsid w:val="00764E4A"/>
    <w:rsid w:val="00777D0F"/>
    <w:rsid w:val="0078439F"/>
    <w:rsid w:val="0078545C"/>
    <w:rsid w:val="007A3AF3"/>
    <w:rsid w:val="007C389D"/>
    <w:rsid w:val="007C7849"/>
    <w:rsid w:val="007D2DEC"/>
    <w:rsid w:val="007E0DBF"/>
    <w:rsid w:val="008027DD"/>
    <w:rsid w:val="008222D2"/>
    <w:rsid w:val="00822514"/>
    <w:rsid w:val="00822AED"/>
    <w:rsid w:val="008235CC"/>
    <w:rsid w:val="0084093A"/>
    <w:rsid w:val="00841668"/>
    <w:rsid w:val="00850E1E"/>
    <w:rsid w:val="00852598"/>
    <w:rsid w:val="008A497B"/>
    <w:rsid w:val="008C16F5"/>
    <w:rsid w:val="008D52B9"/>
    <w:rsid w:val="008E4089"/>
    <w:rsid w:val="008E5770"/>
    <w:rsid w:val="00900DA9"/>
    <w:rsid w:val="00904457"/>
    <w:rsid w:val="009217DD"/>
    <w:rsid w:val="00935A8C"/>
    <w:rsid w:val="00945785"/>
    <w:rsid w:val="00970F07"/>
    <w:rsid w:val="00981ACF"/>
    <w:rsid w:val="00982692"/>
    <w:rsid w:val="009841CB"/>
    <w:rsid w:val="009B7A6C"/>
    <w:rsid w:val="009E6303"/>
    <w:rsid w:val="00A06419"/>
    <w:rsid w:val="00A130A3"/>
    <w:rsid w:val="00A141D0"/>
    <w:rsid w:val="00A312D7"/>
    <w:rsid w:val="00A32E58"/>
    <w:rsid w:val="00A4762A"/>
    <w:rsid w:val="00A612C7"/>
    <w:rsid w:val="00A708C6"/>
    <w:rsid w:val="00A74126"/>
    <w:rsid w:val="00A76C78"/>
    <w:rsid w:val="00A85ACA"/>
    <w:rsid w:val="00A91542"/>
    <w:rsid w:val="00AE0EA5"/>
    <w:rsid w:val="00B046A8"/>
    <w:rsid w:val="00B17949"/>
    <w:rsid w:val="00B3236D"/>
    <w:rsid w:val="00B3576D"/>
    <w:rsid w:val="00B453A2"/>
    <w:rsid w:val="00B45A37"/>
    <w:rsid w:val="00B500F6"/>
    <w:rsid w:val="00B53060"/>
    <w:rsid w:val="00B63BCD"/>
    <w:rsid w:val="00B64959"/>
    <w:rsid w:val="00B72D59"/>
    <w:rsid w:val="00B73D6F"/>
    <w:rsid w:val="00B76BC2"/>
    <w:rsid w:val="00B77F63"/>
    <w:rsid w:val="00B84DCB"/>
    <w:rsid w:val="00BA40B7"/>
    <w:rsid w:val="00BA711F"/>
    <w:rsid w:val="00BC7039"/>
    <w:rsid w:val="00BE74AA"/>
    <w:rsid w:val="00C23E93"/>
    <w:rsid w:val="00C452A7"/>
    <w:rsid w:val="00C515E8"/>
    <w:rsid w:val="00C554BE"/>
    <w:rsid w:val="00C77728"/>
    <w:rsid w:val="00C85819"/>
    <w:rsid w:val="00C85A63"/>
    <w:rsid w:val="00C967A7"/>
    <w:rsid w:val="00C97565"/>
    <w:rsid w:val="00CA45F8"/>
    <w:rsid w:val="00CA72E3"/>
    <w:rsid w:val="00CC3758"/>
    <w:rsid w:val="00CF1F76"/>
    <w:rsid w:val="00CF4906"/>
    <w:rsid w:val="00D50C2A"/>
    <w:rsid w:val="00D519D9"/>
    <w:rsid w:val="00D8114D"/>
    <w:rsid w:val="00D82507"/>
    <w:rsid w:val="00D960BE"/>
    <w:rsid w:val="00D97F6C"/>
    <w:rsid w:val="00DC1C8E"/>
    <w:rsid w:val="00DF6362"/>
    <w:rsid w:val="00DF785D"/>
    <w:rsid w:val="00E05737"/>
    <w:rsid w:val="00E07A00"/>
    <w:rsid w:val="00E13EAD"/>
    <w:rsid w:val="00E232A2"/>
    <w:rsid w:val="00E3091A"/>
    <w:rsid w:val="00E706D5"/>
    <w:rsid w:val="00EA4B86"/>
    <w:rsid w:val="00EB5FE5"/>
    <w:rsid w:val="00EC238A"/>
    <w:rsid w:val="00EC2999"/>
    <w:rsid w:val="00EC6E3A"/>
    <w:rsid w:val="00F32B63"/>
    <w:rsid w:val="00F41404"/>
    <w:rsid w:val="00F62EEA"/>
    <w:rsid w:val="00F74C8A"/>
    <w:rsid w:val="00F97CBD"/>
    <w:rsid w:val="00FF0614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3E89C0-520A-42E2-87B9-C6180276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E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C38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12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8439F"/>
    <w:pPr>
      <w:ind w:left="720"/>
      <w:contextualSpacing/>
    </w:pPr>
  </w:style>
  <w:style w:type="paragraph" w:styleId="ListBullet">
    <w:name w:val="List Bullet"/>
    <w:basedOn w:val="Normal"/>
    <w:uiPriority w:val="99"/>
    <w:rsid w:val="00764E4A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A4B86"/>
    <w:rPr>
      <w:rFonts w:cs="Times New Roman"/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B76BC2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935A8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C389D"/>
    <w:rPr>
      <w:rFonts w:ascii="Times New Roman" w:eastAsia="Times New Roman" w:hAnsi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locked/>
    <w:rsid w:val="007C389D"/>
    <w:pPr>
      <w:spacing w:after="0" w:line="240" w:lineRule="auto"/>
      <w:jc w:val="center"/>
    </w:pPr>
    <w:rPr>
      <w:rFonts w:ascii="Arial Narrow" w:eastAsia="Times New Roman" w:hAnsi="Arial Narrow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7C389D"/>
    <w:rPr>
      <w:rFonts w:ascii="Arial Narrow" w:eastAsia="Times New Roman" w:hAnsi="Arial Narrow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/ PR / Media Committee- Suicide Prevention Coalition of Orleans County</vt:lpstr>
    </vt:vector>
  </TitlesOfParts>
  <Company>gc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/ PR / Media Committee- Suicide Prevention Coalition of Orleans County</dc:title>
  <dc:creator>Vanessa Vassall</dc:creator>
  <cp:lastModifiedBy>Kaitlin Pettine</cp:lastModifiedBy>
  <cp:revision>2</cp:revision>
  <cp:lastPrinted>2019-03-27T13:01:00Z</cp:lastPrinted>
  <dcterms:created xsi:type="dcterms:W3CDTF">2021-09-16T14:15:00Z</dcterms:created>
  <dcterms:modified xsi:type="dcterms:W3CDTF">2021-09-16T14:15:00Z</dcterms:modified>
</cp:coreProperties>
</file>